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9" w:rsidRPr="00043742" w:rsidRDefault="008125B9" w:rsidP="00043742">
      <w:pPr>
        <w:jc w:val="center"/>
        <w:rPr>
          <w:b/>
          <w:sz w:val="21"/>
          <w:szCs w:val="21"/>
        </w:rPr>
      </w:pPr>
      <w:r w:rsidRPr="00043742">
        <w:rPr>
          <w:b/>
          <w:sz w:val="21"/>
          <w:szCs w:val="21"/>
        </w:rPr>
        <w:t xml:space="preserve">Załącznik nr </w:t>
      </w:r>
      <w:r w:rsidR="00C3167F" w:rsidRPr="00043742">
        <w:rPr>
          <w:b/>
          <w:sz w:val="21"/>
          <w:szCs w:val="21"/>
        </w:rPr>
        <w:t>1 do</w:t>
      </w:r>
      <w:r w:rsidR="00834499">
        <w:rPr>
          <w:b/>
          <w:sz w:val="21"/>
          <w:szCs w:val="21"/>
        </w:rPr>
        <w:t xml:space="preserve"> Uchwały Zarządu ROZPN nr 42/Z/2017</w:t>
      </w:r>
      <w:r w:rsidR="00C3167F" w:rsidRPr="00043742">
        <w:rPr>
          <w:b/>
          <w:sz w:val="21"/>
          <w:szCs w:val="21"/>
        </w:rPr>
        <w:t xml:space="preserve"> z dnia 29 czerwca 2017</w:t>
      </w:r>
      <w:r w:rsidRPr="00043742">
        <w:rPr>
          <w:b/>
          <w:sz w:val="21"/>
          <w:szCs w:val="21"/>
        </w:rPr>
        <w:t xml:space="preserve"> r.</w:t>
      </w:r>
    </w:p>
    <w:p w:rsidR="0080700C" w:rsidRPr="00043742" w:rsidRDefault="005B1049" w:rsidP="00043742">
      <w:pPr>
        <w:jc w:val="center"/>
        <w:rPr>
          <w:b/>
          <w:sz w:val="21"/>
          <w:szCs w:val="21"/>
        </w:rPr>
      </w:pPr>
      <w:r w:rsidRPr="00043742">
        <w:rPr>
          <w:b/>
          <w:sz w:val="21"/>
          <w:szCs w:val="21"/>
        </w:rPr>
        <w:t>PROGRAM ROZLICZANIA EKWIWALE</w:t>
      </w:r>
      <w:r w:rsidR="00C3167F" w:rsidRPr="00043742">
        <w:rPr>
          <w:b/>
          <w:sz w:val="21"/>
          <w:szCs w:val="21"/>
        </w:rPr>
        <w:t>NTÓW SĘDZIOWSKICH W SEZONIE 2017/18 I NASTĘPNYCH</w:t>
      </w:r>
    </w:p>
    <w:p w:rsidR="00C3167F" w:rsidRPr="00043742" w:rsidRDefault="00C3167F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Program rozliczania ekwiwalentów sędziowskich jest opracowany zgodnie z uchwałą Walnego Zgromadzenia Delegatów ROZPN z dnia 12.05.2017 </w:t>
      </w:r>
      <w:proofErr w:type="gramStart"/>
      <w:r w:rsidRPr="00043742">
        <w:rPr>
          <w:sz w:val="21"/>
          <w:szCs w:val="21"/>
        </w:rPr>
        <w:t>r</w:t>
      </w:r>
      <w:proofErr w:type="gramEnd"/>
      <w:r w:rsidRPr="00043742">
        <w:rPr>
          <w:sz w:val="21"/>
          <w:szCs w:val="21"/>
        </w:rPr>
        <w:t>.</w:t>
      </w:r>
    </w:p>
    <w:p w:rsidR="00500AE2" w:rsidRPr="00043742" w:rsidRDefault="00500AE2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Program rozliczania ekwiwalentów i dojazdów sędziowskich jest opracowany w zgodzie </w:t>
      </w:r>
      <w:r w:rsidR="00FA7551" w:rsidRPr="00043742">
        <w:rPr>
          <w:sz w:val="21"/>
          <w:szCs w:val="21"/>
        </w:rPr>
        <w:t>z odpowiednimi przepisami</w:t>
      </w:r>
      <w:r w:rsidRPr="00043742">
        <w:rPr>
          <w:sz w:val="21"/>
          <w:szCs w:val="21"/>
        </w:rPr>
        <w:t xml:space="preserve"> PZPN, MZPN oraz ROZPN.</w:t>
      </w:r>
    </w:p>
    <w:p w:rsidR="005B1049" w:rsidRPr="00043742" w:rsidRDefault="005B1049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Poniższe zasady i tryb programu rozliczania ekwiwalentów sędziowskich obowiązuj</w:t>
      </w:r>
      <w:r w:rsidR="00C3167F" w:rsidRPr="00043742">
        <w:rPr>
          <w:sz w:val="21"/>
          <w:szCs w:val="21"/>
        </w:rPr>
        <w:t>ą od rundy jesiennej sezonu 2017/2018</w:t>
      </w:r>
      <w:r w:rsidRPr="00043742">
        <w:rPr>
          <w:sz w:val="21"/>
          <w:szCs w:val="21"/>
        </w:rPr>
        <w:t xml:space="preserve"> i dotyczą:</w:t>
      </w:r>
    </w:p>
    <w:p w:rsidR="005B1049" w:rsidRPr="00043742" w:rsidRDefault="005B1049" w:rsidP="000437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Klubów zrzeszonych w Radomskim OZPN, które złożyły zobowiązanie do uczestnictwa w programie</w:t>
      </w:r>
    </w:p>
    <w:p w:rsidR="005B1049" w:rsidRPr="00043742" w:rsidRDefault="005B1049" w:rsidP="000437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Sędziów </w:t>
      </w:r>
      <w:r w:rsidR="00E86160" w:rsidRPr="00043742">
        <w:rPr>
          <w:sz w:val="21"/>
          <w:szCs w:val="21"/>
        </w:rPr>
        <w:t>piłkarskich – członków Wydziału Sędziowskiego w Radomiu</w:t>
      </w:r>
    </w:p>
    <w:p w:rsidR="00E86160" w:rsidRPr="00043742" w:rsidRDefault="00E86160" w:rsidP="000437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Rozgrywek prowadzonych przez Radomski OZPN</w:t>
      </w:r>
      <w:r w:rsidR="00C3167F" w:rsidRPr="00043742">
        <w:rPr>
          <w:sz w:val="21"/>
          <w:szCs w:val="21"/>
        </w:rPr>
        <w:t xml:space="preserve"> oraz rozgrywek młodzieżowych prowadzonych przez Mazowiecki ZPN, w których występują kluby zrzeszone w Radomskim OZPN</w:t>
      </w:r>
      <w:r w:rsidR="00093DD3" w:rsidRPr="00043742">
        <w:rPr>
          <w:sz w:val="21"/>
          <w:szCs w:val="21"/>
        </w:rPr>
        <w:t>.</w:t>
      </w:r>
    </w:p>
    <w:p w:rsidR="00CE21F6" w:rsidRPr="00043742" w:rsidRDefault="00093DD3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Kluby uczestniczące w programie wpłacają na konto ROZPN kwotę rozliczenia ekwiwalentów sędziowskich w rundzie jesiennej za mecze we wszystkich klasach rozgrywkowych, w których klub zgłosił swoje uczestnictwo</w:t>
      </w:r>
      <w:r w:rsidR="00717216" w:rsidRPr="00043742">
        <w:rPr>
          <w:sz w:val="21"/>
          <w:szCs w:val="21"/>
        </w:rPr>
        <w:t xml:space="preserve"> do rozgrywek prowadzonych przez ROZPN</w:t>
      </w:r>
      <w:r w:rsidR="004E00F1" w:rsidRPr="00043742">
        <w:rPr>
          <w:sz w:val="21"/>
          <w:szCs w:val="21"/>
        </w:rPr>
        <w:t xml:space="preserve"> oraz rozgrywek młodzieżowych prowadzonych przez MZPN</w:t>
      </w:r>
      <w:r w:rsidR="00FB3A12" w:rsidRPr="00043742">
        <w:rPr>
          <w:sz w:val="21"/>
          <w:szCs w:val="21"/>
        </w:rPr>
        <w:t xml:space="preserve">. Przyjmuje się, że ostateczną datą wpłacenia ekwiwalentu jest termin rozpoczęcia rozgrywek </w:t>
      </w:r>
      <w:r w:rsidR="004E00F1" w:rsidRPr="00043742">
        <w:rPr>
          <w:sz w:val="21"/>
          <w:szCs w:val="21"/>
        </w:rPr>
        <w:t>seniorskich (</w:t>
      </w:r>
      <w:r w:rsidR="00043742" w:rsidRPr="00043742">
        <w:rPr>
          <w:sz w:val="21"/>
          <w:szCs w:val="21"/>
        </w:rPr>
        <w:t xml:space="preserve">ligowych lub </w:t>
      </w:r>
      <w:r w:rsidR="004E00F1" w:rsidRPr="00043742">
        <w:rPr>
          <w:sz w:val="21"/>
          <w:szCs w:val="21"/>
        </w:rPr>
        <w:t>pucharowych) w danej rundzie sezonu rozgrywkowego</w:t>
      </w:r>
      <w:r w:rsidR="00FB3A12" w:rsidRPr="00043742">
        <w:rPr>
          <w:sz w:val="21"/>
          <w:szCs w:val="21"/>
        </w:rPr>
        <w:t xml:space="preserve">. </w:t>
      </w:r>
      <w:r w:rsidR="004E00F1" w:rsidRPr="00043742">
        <w:rPr>
          <w:sz w:val="21"/>
          <w:szCs w:val="21"/>
        </w:rPr>
        <w:t>Obowiązek uregulowania zobowiązań finansowych z tytułu rozliczenia ekwiwalentów sędziowskich</w:t>
      </w:r>
      <w:r w:rsidR="001B54CA" w:rsidRPr="00043742">
        <w:rPr>
          <w:sz w:val="21"/>
          <w:szCs w:val="21"/>
        </w:rPr>
        <w:t xml:space="preserve"> dotyczy wszystkich klubów zrzeszonych w ROZPN.</w:t>
      </w:r>
      <w:r w:rsidR="00717216" w:rsidRPr="00043742">
        <w:rPr>
          <w:sz w:val="21"/>
          <w:szCs w:val="21"/>
        </w:rPr>
        <w:t xml:space="preserve"> </w:t>
      </w:r>
    </w:p>
    <w:p w:rsidR="00FB3A12" w:rsidRPr="00043742" w:rsidRDefault="00FB3A12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Kwota, którą klub zobowiązany jest wpłacić zostanie podana klubowi po wylicze</w:t>
      </w:r>
      <w:r w:rsidR="00500AE2" w:rsidRPr="00043742">
        <w:rPr>
          <w:sz w:val="21"/>
          <w:szCs w:val="21"/>
        </w:rPr>
        <w:t>niu jej przez ROZPN wg następujących zasad</w:t>
      </w:r>
      <w:r w:rsidRPr="00043742">
        <w:rPr>
          <w:sz w:val="21"/>
          <w:szCs w:val="21"/>
        </w:rPr>
        <w:t>:</w:t>
      </w:r>
    </w:p>
    <w:p w:rsidR="001B54CA" w:rsidRPr="00043742" w:rsidRDefault="00500AE2" w:rsidP="00043742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Na podstawie t</w:t>
      </w:r>
      <w:r w:rsidR="00FB3A12" w:rsidRPr="00043742">
        <w:rPr>
          <w:sz w:val="21"/>
          <w:szCs w:val="21"/>
        </w:rPr>
        <w:t>erminarza rozgrywek opublikowanego przez ROZPN</w:t>
      </w:r>
    </w:p>
    <w:p w:rsidR="00FB3A12" w:rsidRPr="00043742" w:rsidRDefault="001B54CA" w:rsidP="00043742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Na podstawie terminarza rozgrywek opublikowanego przez MZPN (dla klubów, których drużyny młodzieżowe uczestniczą w rozgrywkach prowadzonych przez MZPN)</w:t>
      </w:r>
      <w:r w:rsidR="00FB3A12" w:rsidRPr="00043742">
        <w:rPr>
          <w:sz w:val="21"/>
          <w:szCs w:val="21"/>
        </w:rPr>
        <w:t xml:space="preserve"> </w:t>
      </w:r>
    </w:p>
    <w:p w:rsidR="00FB3A12" w:rsidRPr="00043742" w:rsidRDefault="00500AE2" w:rsidP="00043742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Ilości m</w:t>
      </w:r>
      <w:r w:rsidR="00FB3A12" w:rsidRPr="00043742">
        <w:rPr>
          <w:sz w:val="21"/>
          <w:szCs w:val="21"/>
        </w:rPr>
        <w:t>eczów, w których klub pełni rolę gospodarza</w:t>
      </w:r>
    </w:p>
    <w:p w:rsidR="00500AE2" w:rsidRPr="00043742" w:rsidRDefault="001B54CA" w:rsidP="00043742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Stawek</w:t>
      </w:r>
      <w:r w:rsidR="00500AE2" w:rsidRPr="00043742">
        <w:rPr>
          <w:sz w:val="21"/>
          <w:szCs w:val="21"/>
        </w:rPr>
        <w:t xml:space="preserve"> ekwiwalentów sędziowskich brutto zgodnie z przepisami PZPN i MZPN</w:t>
      </w:r>
    </w:p>
    <w:p w:rsidR="00444CAA" w:rsidRPr="00043742" w:rsidRDefault="00444CAA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Radomski Okręgowy Związek Piłki Nożnej zastrzega sobie pra</w:t>
      </w:r>
      <w:r w:rsidR="001B54CA" w:rsidRPr="00043742">
        <w:rPr>
          <w:sz w:val="21"/>
          <w:szCs w:val="21"/>
        </w:rPr>
        <w:t>wo do zmian wymienionych w pkt 5</w:t>
      </w:r>
      <w:r w:rsidRPr="00043742">
        <w:rPr>
          <w:sz w:val="21"/>
          <w:szCs w:val="21"/>
        </w:rPr>
        <w:t xml:space="preserve"> stawek w przypadku zmian w odpowiednich przepisach wprowadzonych przez PZPN i MZPN.</w:t>
      </w:r>
    </w:p>
    <w:p w:rsidR="00CE21F6" w:rsidRPr="00043742" w:rsidRDefault="00CE21F6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Radomski Okręgowy Związek Piłki Nożnej zapewnia obsługę rozliczania ekwiwalentów sędziowskich w stosunku do </w:t>
      </w:r>
      <w:r w:rsidR="001B54CA" w:rsidRPr="00043742">
        <w:rPr>
          <w:sz w:val="21"/>
          <w:szCs w:val="21"/>
        </w:rPr>
        <w:t xml:space="preserve">wszystkich </w:t>
      </w:r>
      <w:r w:rsidRPr="00043742">
        <w:rPr>
          <w:sz w:val="21"/>
          <w:szCs w:val="21"/>
        </w:rPr>
        <w:t>klubów</w:t>
      </w:r>
      <w:r w:rsidR="001B54CA" w:rsidRPr="00043742">
        <w:rPr>
          <w:sz w:val="21"/>
          <w:szCs w:val="21"/>
        </w:rPr>
        <w:t xml:space="preserve"> zrzeszonych w ROZPN</w:t>
      </w:r>
      <w:r w:rsidRPr="00043742">
        <w:rPr>
          <w:sz w:val="21"/>
          <w:szCs w:val="21"/>
        </w:rPr>
        <w:t xml:space="preserve">, które </w:t>
      </w:r>
      <w:r w:rsidR="001B54CA" w:rsidRPr="00043742">
        <w:rPr>
          <w:sz w:val="21"/>
          <w:szCs w:val="21"/>
        </w:rPr>
        <w:t xml:space="preserve">uczestniczą w rozgrywkach prowadzonych przez ROZPN </w:t>
      </w:r>
      <w:r w:rsidR="00043742" w:rsidRPr="00043742">
        <w:rPr>
          <w:sz w:val="21"/>
          <w:szCs w:val="21"/>
        </w:rPr>
        <w:t>i/</w:t>
      </w:r>
      <w:r w:rsidR="001B54CA" w:rsidRPr="00043742">
        <w:rPr>
          <w:sz w:val="21"/>
          <w:szCs w:val="21"/>
        </w:rPr>
        <w:t>lub rozgrywkach młodzieżowych prowadzonych przez MZPN</w:t>
      </w:r>
      <w:r w:rsidRPr="00043742">
        <w:rPr>
          <w:sz w:val="21"/>
          <w:szCs w:val="21"/>
        </w:rPr>
        <w:t>.</w:t>
      </w:r>
    </w:p>
    <w:p w:rsidR="00E72FB7" w:rsidRPr="00043742" w:rsidRDefault="00E72FB7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Rozliczenie rzeczywistych kosztów sędziowskich Radomski OZPN dokona po</w:t>
      </w:r>
      <w:r w:rsidR="0053364B" w:rsidRPr="00043742">
        <w:rPr>
          <w:sz w:val="21"/>
          <w:szCs w:val="21"/>
        </w:rPr>
        <w:t xml:space="preserve"> zakończeniu rundy rozgrywkowej przesyłając klubom informację o różnicy kosztów rzeczywistych w stosunku do wpłaconej przez klub przed rundą kwoty.</w:t>
      </w:r>
    </w:p>
    <w:p w:rsidR="00444CAA" w:rsidRPr="00043742" w:rsidRDefault="00CE21F6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Radomski Okręgowy Związek Piłki Nożnej rozlicza sędziów</w:t>
      </w:r>
      <w:r w:rsidR="00444CAA" w:rsidRPr="00043742">
        <w:rPr>
          <w:sz w:val="21"/>
          <w:szCs w:val="21"/>
        </w:rPr>
        <w:t xml:space="preserve"> raz na miesiąc według następujących zasad:</w:t>
      </w:r>
    </w:p>
    <w:p w:rsidR="00444CAA" w:rsidRPr="00043742" w:rsidRDefault="00444CAA" w:rsidP="00043742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Sędziowie są członkami WS Radom</w:t>
      </w:r>
    </w:p>
    <w:p w:rsidR="00C8755C" w:rsidRPr="00043742" w:rsidRDefault="00C8755C" w:rsidP="00043742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Sędziowie </w:t>
      </w:r>
      <w:r w:rsidR="00B15DB1" w:rsidRPr="00043742">
        <w:rPr>
          <w:sz w:val="21"/>
          <w:szCs w:val="21"/>
        </w:rPr>
        <w:t xml:space="preserve">prowadzili zawody, w których gospodarzami były kluby </w:t>
      </w:r>
      <w:r w:rsidR="00041745" w:rsidRPr="00043742">
        <w:rPr>
          <w:sz w:val="21"/>
          <w:szCs w:val="21"/>
        </w:rPr>
        <w:t>zrzeszone w ROZPN</w:t>
      </w:r>
    </w:p>
    <w:p w:rsidR="00B15DB1" w:rsidRPr="00043742" w:rsidRDefault="00B15DB1" w:rsidP="00043742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Sędziowie byli wyznaczeni do prowadzenia zawodów wymienionych w </w:t>
      </w:r>
      <w:proofErr w:type="spellStart"/>
      <w:r w:rsidRPr="00043742">
        <w:rPr>
          <w:sz w:val="21"/>
          <w:szCs w:val="21"/>
        </w:rPr>
        <w:t>ppkt</w:t>
      </w:r>
      <w:proofErr w:type="spellEnd"/>
      <w:r w:rsidRPr="00043742">
        <w:rPr>
          <w:sz w:val="21"/>
          <w:szCs w:val="21"/>
        </w:rPr>
        <w:t xml:space="preserve"> b przez Referenta Obsady WS Radom na podstawie obsady sędziowskiej zamieszczonej w systemie Extranet</w:t>
      </w:r>
    </w:p>
    <w:p w:rsidR="00CE21F6" w:rsidRPr="00043742" w:rsidRDefault="00444CAA" w:rsidP="00043742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Sędziowie zł</w:t>
      </w:r>
      <w:r w:rsidR="005D2B85" w:rsidRPr="00043742">
        <w:rPr>
          <w:sz w:val="21"/>
          <w:szCs w:val="21"/>
        </w:rPr>
        <w:t>ożą</w:t>
      </w:r>
      <w:r w:rsidRPr="00043742">
        <w:rPr>
          <w:sz w:val="21"/>
          <w:szCs w:val="21"/>
        </w:rPr>
        <w:t xml:space="preserve"> do ROZPN </w:t>
      </w:r>
      <w:r w:rsidR="00041745" w:rsidRPr="00043742">
        <w:rPr>
          <w:sz w:val="21"/>
          <w:szCs w:val="21"/>
        </w:rPr>
        <w:t xml:space="preserve">poprawny pod względem formalnym i merytorycznym </w:t>
      </w:r>
      <w:r w:rsidR="005D2B85" w:rsidRPr="00043742">
        <w:rPr>
          <w:sz w:val="21"/>
          <w:szCs w:val="21"/>
        </w:rPr>
        <w:t>rachunek wg wzoru stanowiącego załącznik do n/n Uchwały</w:t>
      </w:r>
      <w:r w:rsidR="00041745" w:rsidRPr="00043742">
        <w:rPr>
          <w:sz w:val="21"/>
          <w:szCs w:val="21"/>
        </w:rPr>
        <w:t xml:space="preserve"> do końca</w:t>
      </w:r>
      <w:r w:rsidR="00C8755C" w:rsidRPr="00043742">
        <w:rPr>
          <w:sz w:val="21"/>
          <w:szCs w:val="21"/>
        </w:rPr>
        <w:t xml:space="preserve"> każdego miesiąca</w:t>
      </w:r>
      <w:r w:rsidR="001A04E0">
        <w:rPr>
          <w:sz w:val="21"/>
          <w:szCs w:val="21"/>
        </w:rPr>
        <w:t xml:space="preserve"> – liczy się data wpływu</w:t>
      </w:r>
      <w:bookmarkStart w:id="0" w:name="_GoBack"/>
      <w:bookmarkEnd w:id="0"/>
      <w:r w:rsidR="00C8755C" w:rsidRPr="00043742">
        <w:rPr>
          <w:sz w:val="21"/>
          <w:szCs w:val="21"/>
        </w:rPr>
        <w:t xml:space="preserve"> (w trakcie trwania sezonu rozgrywkowego)</w:t>
      </w:r>
    </w:p>
    <w:p w:rsidR="005D2B85" w:rsidRPr="00043742" w:rsidRDefault="005D2B85" w:rsidP="00043742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 xml:space="preserve">Na podstawie złożonych </w:t>
      </w:r>
      <w:r w:rsidR="00FA7551" w:rsidRPr="00043742">
        <w:rPr>
          <w:sz w:val="21"/>
          <w:szCs w:val="21"/>
        </w:rPr>
        <w:t xml:space="preserve">przez sędziów </w:t>
      </w:r>
      <w:r w:rsidRPr="00043742">
        <w:rPr>
          <w:sz w:val="21"/>
          <w:szCs w:val="21"/>
        </w:rPr>
        <w:t xml:space="preserve">rachunków </w:t>
      </w:r>
      <w:r w:rsidR="00C8755C" w:rsidRPr="00043742">
        <w:rPr>
          <w:sz w:val="21"/>
          <w:szCs w:val="21"/>
        </w:rPr>
        <w:t>następuje rozliczenie</w:t>
      </w:r>
      <w:r w:rsidRPr="00043742">
        <w:rPr>
          <w:sz w:val="21"/>
          <w:szCs w:val="21"/>
        </w:rPr>
        <w:t xml:space="preserve"> sędziów wg odpowiednich przepisów prawa oraz przepisów PZPN, MZPN i </w:t>
      </w:r>
      <w:r w:rsidR="00FA7551" w:rsidRPr="00043742">
        <w:rPr>
          <w:sz w:val="21"/>
          <w:szCs w:val="21"/>
        </w:rPr>
        <w:t xml:space="preserve">ROZPN i dokonanie </w:t>
      </w:r>
      <w:r w:rsidRPr="00043742">
        <w:rPr>
          <w:sz w:val="21"/>
          <w:szCs w:val="21"/>
        </w:rPr>
        <w:t>przelewów na wskazane przez sędziów w ankiecie personalnej rachunki bankowe</w:t>
      </w:r>
    </w:p>
    <w:p w:rsidR="00CB03B0" w:rsidRPr="00043742" w:rsidRDefault="00CB03B0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W przypadku wystąpienia jakichkolwiek przyczyn mających wpływ na kwotę rozliczenia programu ( wycofania lub zgłoszenia klubu lub drużyny z</w:t>
      </w:r>
      <w:r w:rsidR="00152989" w:rsidRPr="00043742">
        <w:rPr>
          <w:sz w:val="21"/>
          <w:szCs w:val="21"/>
        </w:rPr>
        <w:t xml:space="preserve">/do rozgrywek, </w:t>
      </w:r>
      <w:r w:rsidRPr="00043742">
        <w:rPr>
          <w:sz w:val="21"/>
          <w:szCs w:val="21"/>
        </w:rPr>
        <w:t>meczów nieodbytych itp.) ROZPN zastrzega sobie prawo korekty wyliczonej dla klubu</w:t>
      </w:r>
      <w:r w:rsidR="00152989" w:rsidRPr="00043742">
        <w:rPr>
          <w:sz w:val="21"/>
          <w:szCs w:val="21"/>
        </w:rPr>
        <w:t xml:space="preserve"> kwoty uczestnictwa w programie z obowiązkiem powiadomienia klubu o zaistniałej sytuacji. </w:t>
      </w:r>
    </w:p>
    <w:p w:rsidR="005D2B85" w:rsidRPr="00043742" w:rsidRDefault="003779A3" w:rsidP="00043742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043742">
        <w:rPr>
          <w:sz w:val="21"/>
          <w:szCs w:val="21"/>
        </w:rPr>
        <w:t>Wszelkie rozbieżności oraz kwestie związane z rozliczeniami programu,</w:t>
      </w:r>
      <w:r w:rsidR="00FA7551" w:rsidRPr="00043742">
        <w:rPr>
          <w:sz w:val="21"/>
          <w:szCs w:val="21"/>
        </w:rPr>
        <w:t xml:space="preserve"> zarówno w odniesieniu do klubów jak i sędziów rozpatrywane będą </w:t>
      </w:r>
      <w:r w:rsidRPr="00043742">
        <w:rPr>
          <w:sz w:val="21"/>
          <w:szCs w:val="21"/>
        </w:rPr>
        <w:t xml:space="preserve">przez ROZPN </w:t>
      </w:r>
      <w:r w:rsidR="00FA7551" w:rsidRPr="00043742">
        <w:rPr>
          <w:sz w:val="21"/>
          <w:szCs w:val="21"/>
        </w:rPr>
        <w:t>po wniesieniu przez zainteresowane strony pisma</w:t>
      </w:r>
      <w:r w:rsidR="00C51B3E" w:rsidRPr="00043742">
        <w:rPr>
          <w:sz w:val="21"/>
          <w:szCs w:val="21"/>
        </w:rPr>
        <w:t>. Zgłoszone wątpliwości zostaną</w:t>
      </w:r>
      <w:r w:rsidRPr="00043742">
        <w:rPr>
          <w:sz w:val="21"/>
          <w:szCs w:val="21"/>
        </w:rPr>
        <w:t xml:space="preserve"> roz</w:t>
      </w:r>
      <w:r w:rsidR="00CB03B0" w:rsidRPr="00043742">
        <w:rPr>
          <w:sz w:val="21"/>
          <w:szCs w:val="21"/>
        </w:rPr>
        <w:t>patrzone przez ROZPN</w:t>
      </w:r>
      <w:r w:rsidR="00FA7551" w:rsidRPr="00043742">
        <w:rPr>
          <w:sz w:val="21"/>
          <w:szCs w:val="21"/>
        </w:rPr>
        <w:t xml:space="preserve"> </w:t>
      </w:r>
      <w:r w:rsidRPr="00043742">
        <w:rPr>
          <w:sz w:val="21"/>
          <w:szCs w:val="21"/>
        </w:rPr>
        <w:t>najpóźniej</w:t>
      </w:r>
      <w:r w:rsidR="00CB03B0" w:rsidRPr="00043742">
        <w:rPr>
          <w:sz w:val="21"/>
          <w:szCs w:val="21"/>
        </w:rPr>
        <w:t xml:space="preserve"> do rozpoczęcia następnej rundy rozgrywkowej.</w:t>
      </w:r>
    </w:p>
    <w:sectPr w:rsidR="005D2B85" w:rsidRPr="00043742" w:rsidSect="00043742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3F6"/>
    <w:multiLevelType w:val="hybridMultilevel"/>
    <w:tmpl w:val="703E5CC8"/>
    <w:lvl w:ilvl="0" w:tplc="16B8D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C0EC8"/>
    <w:multiLevelType w:val="hybridMultilevel"/>
    <w:tmpl w:val="E4F08A8A"/>
    <w:lvl w:ilvl="0" w:tplc="760C0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665F3"/>
    <w:multiLevelType w:val="hybridMultilevel"/>
    <w:tmpl w:val="C6FC313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79D1D7B"/>
    <w:multiLevelType w:val="hybridMultilevel"/>
    <w:tmpl w:val="D944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92668"/>
    <w:multiLevelType w:val="hybridMultilevel"/>
    <w:tmpl w:val="5F78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123B"/>
    <w:multiLevelType w:val="hybridMultilevel"/>
    <w:tmpl w:val="AB882B5E"/>
    <w:lvl w:ilvl="0" w:tplc="22C40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D5783"/>
    <w:multiLevelType w:val="hybridMultilevel"/>
    <w:tmpl w:val="E05E37FE"/>
    <w:lvl w:ilvl="0" w:tplc="A312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26BFC"/>
    <w:multiLevelType w:val="hybridMultilevel"/>
    <w:tmpl w:val="DA14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41745"/>
    <w:rsid w:val="00043742"/>
    <w:rsid w:val="00093DD3"/>
    <w:rsid w:val="000A4B96"/>
    <w:rsid w:val="000D2EFB"/>
    <w:rsid w:val="000E1555"/>
    <w:rsid w:val="00142D82"/>
    <w:rsid w:val="00152989"/>
    <w:rsid w:val="001A04E0"/>
    <w:rsid w:val="001B54CA"/>
    <w:rsid w:val="002027CE"/>
    <w:rsid w:val="002911B7"/>
    <w:rsid w:val="003561AF"/>
    <w:rsid w:val="003700FC"/>
    <w:rsid w:val="003779A3"/>
    <w:rsid w:val="0041399D"/>
    <w:rsid w:val="004419EC"/>
    <w:rsid w:val="00444CAA"/>
    <w:rsid w:val="004E00F1"/>
    <w:rsid w:val="00500AE2"/>
    <w:rsid w:val="0053364B"/>
    <w:rsid w:val="0058084C"/>
    <w:rsid w:val="00582EFB"/>
    <w:rsid w:val="005B1049"/>
    <w:rsid w:val="005D2B85"/>
    <w:rsid w:val="005D64B7"/>
    <w:rsid w:val="006467A7"/>
    <w:rsid w:val="006C2BE1"/>
    <w:rsid w:val="00717216"/>
    <w:rsid w:val="007E7D54"/>
    <w:rsid w:val="0080700C"/>
    <w:rsid w:val="008125B9"/>
    <w:rsid w:val="00821D46"/>
    <w:rsid w:val="008269AA"/>
    <w:rsid w:val="00834499"/>
    <w:rsid w:val="0087690F"/>
    <w:rsid w:val="00886031"/>
    <w:rsid w:val="008D78E0"/>
    <w:rsid w:val="00943A6F"/>
    <w:rsid w:val="009967D0"/>
    <w:rsid w:val="00A05C9A"/>
    <w:rsid w:val="00A1103D"/>
    <w:rsid w:val="00A60013"/>
    <w:rsid w:val="00AE0E73"/>
    <w:rsid w:val="00B15DB1"/>
    <w:rsid w:val="00B407E7"/>
    <w:rsid w:val="00C3167F"/>
    <w:rsid w:val="00C33C5B"/>
    <w:rsid w:val="00C47599"/>
    <w:rsid w:val="00C51B3E"/>
    <w:rsid w:val="00C8755C"/>
    <w:rsid w:val="00CB03B0"/>
    <w:rsid w:val="00CE21F6"/>
    <w:rsid w:val="00D46730"/>
    <w:rsid w:val="00D75DEA"/>
    <w:rsid w:val="00DE7578"/>
    <w:rsid w:val="00E72FB7"/>
    <w:rsid w:val="00E86160"/>
    <w:rsid w:val="00ED27B3"/>
    <w:rsid w:val="00F17EC4"/>
    <w:rsid w:val="00F22E09"/>
    <w:rsid w:val="00F75C3F"/>
    <w:rsid w:val="00FA7551"/>
    <w:rsid w:val="00FB3A12"/>
    <w:rsid w:val="00FD07C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8D78-3350-463A-A38B-78AC010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ROZPN1</dc:creator>
  <cp:lastModifiedBy>ROZPN_1</cp:lastModifiedBy>
  <cp:revision>6</cp:revision>
  <cp:lastPrinted>2016-07-19T09:46:00Z</cp:lastPrinted>
  <dcterms:created xsi:type="dcterms:W3CDTF">2017-06-22T12:56:00Z</dcterms:created>
  <dcterms:modified xsi:type="dcterms:W3CDTF">2017-07-31T15:01:00Z</dcterms:modified>
</cp:coreProperties>
</file>